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South Plains Financial, Inc.</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22" w:right="239" w:bottom="1440" w:gutter="0" w:footer="0" w:header="0"/>
        </w:sectPr>
      </w:pPr>
    </w:p>
    <w:p>
      <w:pPr>
        <w:spacing w:after="0" w:line="232"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5440" w:space="280"/>
            <w:col w:w="5700"/>
          </w:cols>
          <w:pgMar w:left="240" w:top="522" w:right="239" w:bottom="1440" w:gutter="0" w:footer="0" w:header="0"/>
          <w:type w:val="continuous"/>
        </w:sectPr>
      </w:pPr>
    </w:p>
    <w:p>
      <w:pPr>
        <w:spacing w:after="0" w:line="57"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5219 City Bank Parkway</w:t>
      </w:r>
    </w:p>
    <w:p>
      <w:pPr>
        <w:spacing w:after="0" w:line="50"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Lubbock, Texas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31" w:lineRule="exact"/>
        <w:rPr>
          <w:sz w:val="24"/>
          <w:szCs w:val="24"/>
          <w:color w:val="auto"/>
        </w:rPr>
      </w:pPr>
    </w:p>
    <w:p>
      <w:pPr>
        <w:sectPr>
          <w:pgSz w:w="11900" w:h="16838" w:orient="portrait"/>
          <w:cols w:equalWidth="0" w:num="2">
            <w:col w:w="5000" w:space="720"/>
            <w:col w:w="5700"/>
          </w:cols>
          <w:pgMar w:left="240" w:top="522"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5140" w:type="dxa"/>
            <w:vAlign w:val="bottom"/>
          </w:tcPr>
          <w:p>
            <w:pPr>
              <w:spacing w:after="0"/>
              <w:rPr>
                <w:sz w:val="20"/>
                <w:szCs w:val="20"/>
                <w:color w:val="auto"/>
              </w:rPr>
            </w:pPr>
          </w:p>
        </w:tc>
      </w:tr>
      <w:tr>
        <w:trPr>
          <w:trHeight w:val="445"/>
        </w:trPr>
        <w:tc>
          <w:tcPr>
            <w:tcW w:w="628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12(b) of the Act:</w:t>
            </w:r>
          </w:p>
        </w:tc>
        <w:tc>
          <w:tcPr>
            <w:tcW w:w="51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260" w:type="dxa"/>
            <w:vAlign w:val="bottom"/>
            <w:gridSpan w:val="2"/>
          </w:tcPr>
          <w:p>
            <w:pPr>
              <w:ind w:left="640"/>
              <w:spacing w:after="0"/>
              <w:rPr>
                <w:sz w:val="20"/>
                <w:szCs w:val="20"/>
                <w:color w:val="auto"/>
              </w:rPr>
            </w:pPr>
            <w:r>
              <w:rPr>
                <w:rFonts w:ascii="Arial" w:cs="Arial" w:eastAsia="Arial" w:hAnsi="Arial"/>
                <w:sz w:val="18"/>
                <w:szCs w:val="18"/>
                <w:color w:val="auto"/>
              </w:rPr>
              <w:t>Title of each class</w:t>
            </w:r>
          </w:p>
        </w:tc>
        <w:tc>
          <w:tcPr>
            <w:tcW w:w="5140" w:type="dxa"/>
            <w:vAlign w:val="bottom"/>
          </w:tcPr>
          <w:p>
            <w:pPr>
              <w:ind w:left="660"/>
              <w:spacing w:after="0"/>
              <w:rPr>
                <w:sz w:val="20"/>
                <w:szCs w:val="20"/>
                <w:color w:val="auto"/>
              </w:rPr>
            </w:pPr>
            <w:r>
              <w:rPr>
                <w:rFonts w:ascii="Arial" w:cs="Arial" w:eastAsia="Arial" w:hAnsi="Arial"/>
                <w:sz w:val="18"/>
                <w:szCs w:val="18"/>
                <w:color w:val="auto"/>
              </w:rPr>
              <w:t>Name of each exchange on which</w:t>
            </w:r>
          </w:p>
        </w:tc>
      </w:tr>
      <w:tr>
        <w:trPr>
          <w:trHeight w:val="237"/>
        </w:trPr>
        <w:tc>
          <w:tcPr>
            <w:tcW w:w="20" w:type="dxa"/>
            <w:vAlign w:val="bottom"/>
          </w:tcPr>
          <w:p>
            <w:pPr>
              <w:spacing w:after="0"/>
              <w:rPr>
                <w:sz w:val="20"/>
                <w:szCs w:val="20"/>
                <w:color w:val="auto"/>
              </w:rPr>
            </w:pPr>
          </w:p>
        </w:tc>
        <w:tc>
          <w:tcPr>
            <w:tcW w:w="6260" w:type="dxa"/>
            <w:vAlign w:val="bottom"/>
            <w:gridSpan w:val="2"/>
          </w:tcPr>
          <w:p>
            <w:pPr>
              <w:ind w:left="640"/>
              <w:spacing w:after="0"/>
              <w:rPr>
                <w:sz w:val="20"/>
                <w:szCs w:val="20"/>
                <w:color w:val="auto"/>
              </w:rPr>
            </w:pPr>
            <w:r>
              <w:rPr>
                <w:rFonts w:ascii="Arial" w:cs="Arial" w:eastAsia="Arial" w:hAnsi="Arial"/>
                <w:sz w:val="18"/>
                <w:szCs w:val="18"/>
                <w:color w:val="auto"/>
              </w:rPr>
              <w:t>to be so registered</w:t>
            </w:r>
          </w:p>
        </w:tc>
        <w:tc>
          <w:tcPr>
            <w:tcW w:w="5140" w:type="dxa"/>
            <w:vAlign w:val="bottom"/>
          </w:tcPr>
          <w:p>
            <w:pPr>
              <w:ind w:left="660"/>
              <w:spacing w:after="0"/>
              <w:rPr>
                <w:sz w:val="20"/>
                <w:szCs w:val="20"/>
                <w:color w:val="auto"/>
              </w:rPr>
            </w:pPr>
            <w:r>
              <w:rPr>
                <w:rFonts w:ascii="Arial" w:cs="Arial" w:eastAsia="Arial" w:hAnsi="Arial"/>
                <w:sz w:val="18"/>
                <w:szCs w:val="18"/>
                <w:color w:val="auto"/>
              </w:rPr>
              <w:t>each class is to be registered</w:t>
            </w:r>
          </w:p>
        </w:tc>
      </w:tr>
      <w:tr>
        <w:trPr>
          <w:trHeight w:val="234"/>
        </w:trPr>
        <w:tc>
          <w:tcPr>
            <w:tcW w:w="20" w:type="dxa"/>
            <w:vAlign w:val="bottom"/>
          </w:tcPr>
          <w:p>
            <w:pPr>
              <w:spacing w:after="0"/>
              <w:rPr>
                <w:sz w:val="20"/>
                <w:szCs w:val="20"/>
                <w:color w:val="auto"/>
              </w:rPr>
            </w:pPr>
          </w:p>
        </w:tc>
        <w:tc>
          <w:tcPr>
            <w:tcW w:w="514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Common Stock, par value $1.00 per share</w:t>
            </w:r>
          </w:p>
        </w:tc>
        <w:tc>
          <w:tcPr>
            <w:tcW w:w="1120" w:type="dxa"/>
            <w:vAlign w:val="bottom"/>
          </w:tcPr>
          <w:p>
            <w:pPr>
              <w:spacing w:after="0"/>
              <w:rPr>
                <w:sz w:val="20"/>
                <w:szCs w:val="20"/>
                <w:color w:val="auto"/>
              </w:rPr>
            </w:pPr>
          </w:p>
        </w:tc>
        <w:tc>
          <w:tcPr>
            <w:tcW w:w="514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1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21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196" w:lineRule="exact"/>
        <w:tabs>
          <w:tab w:leader="none" w:pos="9460" w:val="left"/>
        </w:tabs>
        <w:rPr>
          <w:sz w:val="20"/>
          <w:szCs w:val="20"/>
          <w:color w:val="auto"/>
        </w:rPr>
      </w:pPr>
      <w:r>
        <w:rPr>
          <w:rFonts w:ascii="Arial" w:cs="Arial" w:eastAsia="Arial" w:hAnsi="Arial"/>
          <w:sz w:val="17"/>
          <w:szCs w:val="17"/>
          <w:color w:val="auto"/>
        </w:rPr>
        <w:t>If this form relates to the registration of a class of securities concurrently with a Regulation A offering, check the following box.</w:t>
      </w:r>
      <w:r>
        <w:rPr>
          <w:sz w:val="20"/>
          <w:szCs w:val="20"/>
          <w:color w:val="auto"/>
        </w:rPr>
        <w:tab/>
      </w:r>
      <w:r>
        <w:rPr>
          <w:rFonts w:ascii="MS PGothic" w:cs="MS PGothic" w:eastAsia="MS PGothic" w:hAnsi="MS PGothic"/>
          <w:sz w:val="16"/>
          <w:szCs w:val="16"/>
          <w:color w:val="auto"/>
        </w:rPr>
        <w:t>☐</w:t>
      </w:r>
    </w:p>
    <w:p>
      <w:pPr>
        <w:spacing w:after="0" w:line="292" w:lineRule="exact"/>
        <w:rPr>
          <w:sz w:val="24"/>
          <w:szCs w:val="24"/>
          <w:color w:val="auto"/>
        </w:rPr>
      </w:pPr>
    </w:p>
    <w:p>
      <w:pPr>
        <w:spacing w:after="0"/>
        <w:tabs>
          <w:tab w:leader="none" w:pos="5640" w:val="left"/>
        </w:tabs>
        <w:rPr>
          <w:sz w:val="20"/>
          <w:szCs w:val="20"/>
          <w:color w:val="auto"/>
        </w:rPr>
      </w:pPr>
      <w:r>
        <w:rPr>
          <w:rFonts w:ascii="Arial" w:cs="Arial" w:eastAsia="Arial" w:hAnsi="Arial"/>
          <w:sz w:val="18"/>
          <w:szCs w:val="18"/>
          <w:color w:val="auto"/>
        </w:rPr>
        <w:t>Securities Act registration statement file number to which this form relates:</w:t>
      </w:r>
      <w:r>
        <w:rPr>
          <w:sz w:val="20"/>
          <w:szCs w:val="20"/>
          <w:color w:val="auto"/>
        </w:rPr>
        <w:tab/>
      </w:r>
      <w:r>
        <w:rPr>
          <w:rFonts w:ascii="Arial" w:cs="Arial" w:eastAsia="Arial" w:hAnsi="Arial"/>
          <w:sz w:val="16"/>
          <w:szCs w:val="16"/>
          <w:b w:val="1"/>
          <w:bCs w:val="1"/>
          <w:color w:val="auto"/>
        </w:rPr>
        <w:t>333-230851</w:t>
      </w:r>
    </w:p>
    <w:p>
      <w:pPr>
        <w:spacing w:after="0" w:line="252" w:lineRule="exact"/>
        <w:rPr>
          <w:sz w:val="24"/>
          <w:szCs w:val="24"/>
          <w:color w:val="auto"/>
        </w:rPr>
      </w:pPr>
    </w:p>
    <w:p>
      <w:pPr>
        <w:spacing w:after="0"/>
        <w:tabs>
          <w:tab w:leader="none" w:pos="4760" w:val="left"/>
        </w:tabs>
        <w:rPr>
          <w:sz w:val="20"/>
          <w:szCs w:val="20"/>
          <w:color w:val="auto"/>
        </w:rPr>
      </w:pPr>
      <w:r>
        <w:rPr>
          <w:rFonts w:ascii="Arial" w:cs="Arial" w:eastAsia="Arial" w:hAnsi="Arial"/>
          <w:sz w:val="18"/>
          <w:szCs w:val="18"/>
          <w:color w:val="auto"/>
        </w:rPr>
        <w:t>Securities to be registered pursuant to Section 12(g) of the Act:</w:t>
      </w:r>
      <w:r>
        <w:rPr>
          <w:sz w:val="20"/>
          <w:szCs w:val="20"/>
          <w:color w:val="auto"/>
        </w:rPr>
        <w:tab/>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description of the common stock, par value $1.00 per share (the “Common Stock”), of South Plains Financial, Inc. (the “Registrant”) to be registered hereunder is set forth under the caption “Description of Capital Stock” in the prospectus that forms a part of the Registration Statement on Form S-1 (File No. 333-230851), initially filed publicly by the Registrant with the Securities and Exchange Commission on April 12, 2019, as subsequently amended from time to time thereafter, is incorporated herein by reference. The description of the Common Stock set forth under the caption “Description of Capital Stock” in any prospectus subsequently filed by the Registrant pursuant to Rule 424(b) under the Securities Act of 1933, as amended, shall be deemed to be incorporated herein by reference. Any statement contained in a document incorporated herein by reference shall be deemed to be modified or superseded for purposes hereof to the extent that another document incorporated herein by reference modifies or supersedes such previous statement.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140" w:val="left"/>
          <w:tab w:leader="none" w:pos="5700" w:val="left"/>
        </w:tabs>
        <w:rPr>
          <w:sz w:val="20"/>
          <w:szCs w:val="20"/>
          <w:color w:val="auto"/>
        </w:rPr>
      </w:pPr>
      <w:r>
        <w:rPr>
          <w:rFonts w:ascii="Arial" w:cs="Arial" w:eastAsia="Arial" w:hAnsi="Arial"/>
          <w:sz w:val="18"/>
          <w:szCs w:val="18"/>
          <w:color w:val="auto"/>
        </w:rPr>
        <w:t>Date: May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2019-12-02T23:24:13Z</dcterms:created>
  <dcterms:modified xsi:type="dcterms:W3CDTF">2019-12-02T23:24:13Z</dcterms:modified>
</cp:coreProperties>
</file>